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120" w:after="20" w:line="252" w:lineRule="auto"/>
        <w:shd w:val="clear" w:color="auto" w:fill="6F9E2E"/>
      </w:pPr>
      <w:r>
        <w:rPr>
          <w:rFonts w:ascii="Calibri" w:hAnsi="Calibri"/>
          <w:b/>
          <w:color w:val="FFFFFF"/>
          <w:sz w:val="52"/>
          <w:szCs w:val="52"/>
        </w:rPr>
        <w:t xml:space="preserve">Jane Doe</w:t>
      </w:r>
    </w:p>
    <w:p>
      <w:pPr>
        <w:spacing w:before="0" w:after="160" w:line="252" w:lineRule="auto"/>
        <w:shd w:val="clear" w:color="auto" w:fill="6F9E2E"/>
      </w:pPr>
      <w:r>
        <w:rPr>
          <w:rFonts w:ascii="Calibri" w:hAnsi="Calibri"/>
          <w:color w:val="E8E8E8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Professional Summary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Experience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Senior ML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Acme AI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the model-serving layer powering 12M inferences/day at 99.9% uptime, cutting p95 latency 38%.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Led retrieval-quality work that lifted answer accuracy 21% across 4 production models.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an offline eval harness (LLM-as-judge) adopted by 5 teams to gate every model release.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Scaled A/B-tested ranking experiments across 40+ launches, adding $3.2M in annual revenue.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Machine Learning Engineer</w:t>
      </w:r>
      <w:r>
        <w:rPr>
          <w:rFonts w:ascii="Calibri" w:hAnsi="Calibri"/>
          <w:b/>
          <w:color w:val="191A23"/>
          <w:sz w:val="21"/>
          <w:szCs w:val="21"/>
        </w:rPr>
        <w:t xml:space="preserve">  |  DataForge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Shipped a vector-search pipeline over 40M documents with sub-100ms retrieval.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Cut model training cost 27% by moving feature pipelines to Spark and Parquet.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Designed the feature store powering 30+ models, cutting training-data build time from days to hours.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Data Scientist</w:t>
      </w:r>
      <w:r>
        <w:rPr>
          <w:rFonts w:ascii="Calibri" w:hAnsi="Calibri"/>
          <w:b/>
          <w:color w:val="191A23"/>
          <w:sz w:val="21"/>
          <w:szCs w:val="21"/>
        </w:rPr>
        <w:t xml:space="preserve">  |  Northwind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Built churn models (AUC 0.89) that informed a retention program worth $1.2M ARR.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Selected Projects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OpenRAG — open-source retrieval-eval toolkit; 2.1k GitHub stars, used by 40+ teams.</w:t>
      </w:r>
    </w:p>
    <w:p>
      <w:pPr>
        <w:spacing w:before="0" w:after="60" w:line="252" w:lineRule="auto"/>
        <w:ind w:left="180"/>
      </w:pPr>
      <w:r>
        <w:rPr>
          <w:rFonts w:ascii="Calibri" w:hAnsi="Calibri"/>
          <w:color w:val="404040"/>
          <w:sz w:val="20"/>
          <w:szCs w:val="20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Education</w:t>
      </w:r>
    </w:p>
    <w:p>
      <w:pPr>
        <w:spacing w:before="90" w:after="10" w:line="252" w:lineRule="auto"/>
      </w:pPr>
      <w:r>
        <w:rPr>
          <w:rFonts w:ascii="Calibri" w:hAnsi="Calibri"/>
          <w:b/>
          <w:color w:val="6F9E2E"/>
          <w:sz w:val="21"/>
          <w:szCs w:val="21"/>
        </w:rPr>
        <w:t xml:space="preserve">BSc Computer Science</w:t>
      </w:r>
      <w:r>
        <w:rPr>
          <w:rFonts w:ascii="Calibri" w:hAnsi="Calibri"/>
          <w:b/>
          <w:color w:val="191A23"/>
          <w:sz w:val="21"/>
          <w:szCs w:val="21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Calibri" w:hAnsi="Calibri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Calibri" w:hAnsi="Calibri"/>
          <w:b/>
          <w:caps/>
          <w:color w:val="6F9E2E"/>
          <w:spacing w:val="20"/>
          <w:sz w:val="20"/>
          <w:szCs w:val="20"/>
        </w:rPr>
        <w:t xml:space="preserve">Skills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ML: PyTorch, Transformers, RAG, LLM evaluation, vector search, fine-tuning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Platform: Python, Ray, Spark, Kubernetes, AWS, Triton</w:t>
      </w:r>
    </w:p>
    <w:p>
      <w:pPr>
        <w:spacing w:before="0" w:after="60" w:line="252" w:lineRule="auto"/>
      </w:pPr>
      <w:r>
        <w:rPr>
          <w:rFonts w:ascii="Calibri" w:hAnsi="Calibri"/>
          <w:color w:val="404040"/>
          <w:sz w:val="20"/>
          <w:szCs w:val="20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Accent</dc:title>
  <dc:creator>devfound.ai</dc:creator>
</cp:coreProperties>
</file>